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bookmarkStart w:id="2" w:name="_GoBack"/>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2527E">
              <w:rPr>
                <w:rFonts w:cs="Calibri"/>
                <w:color w:val="000000"/>
              </w:rPr>
            </w:r>
            <w:r w:rsidR="00A2527E">
              <w:rPr>
                <w:rFonts w:cs="Calibri"/>
                <w:color w:val="000000"/>
              </w:rPr>
              <w:fldChar w:fldCharType="separate"/>
            </w:r>
            <w:r w:rsidRPr="00841A7D">
              <w:rPr>
                <w:rFonts w:cs="Calibri"/>
                <w:color w:val="000000"/>
              </w:rPr>
              <w:fldChar w:fldCharType="end"/>
            </w:r>
            <w:bookmarkEnd w:id="2"/>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2527E">
              <w:rPr>
                <w:rFonts w:cs="Calibri"/>
                <w:color w:val="000000"/>
              </w:rPr>
            </w:r>
            <w:r w:rsidR="00A2527E">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2527E">
        <w:rPr>
          <w:rFonts w:cs="Calibri"/>
          <w:color w:val="000000"/>
        </w:rPr>
      </w:r>
      <w:r w:rsidR="00A2527E">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2527E"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2527E"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2527E"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w:t>
      </w:r>
      <w:r w:rsidR="00031E35">
        <w:rPr>
          <w:rFonts w:cstheme="minorHAnsi"/>
          <w:sz w:val="14"/>
          <w:szCs w:val="18"/>
        </w:rPr>
        <w:t xml:space="preserve"> Euronext Equities Information p</w:t>
      </w:r>
      <w:r w:rsidRPr="00F873FD">
        <w:rPr>
          <w:rFonts w:cstheme="minorHAnsi"/>
          <w:sz w:val="14"/>
          <w:szCs w:val="18"/>
        </w:rPr>
        <w:t>roducts</w:t>
      </w:r>
    </w:p>
    <w:p w:rsidR="00AF45F1" w:rsidRDefault="00AF45F1" w:rsidP="00AF45F1">
      <w:pPr>
        <w:spacing w:after="0" w:line="240" w:lineRule="auto"/>
        <w:jc w:val="left"/>
        <w:rPr>
          <w:rFonts w:asciiTheme="minorHAnsi" w:hAnsiTheme="minorHAnsi" w:cstheme="minorHAnsi"/>
          <w:b/>
          <w:sz w:val="18"/>
          <w:szCs w:val="18"/>
        </w:rPr>
      </w:pPr>
    </w:p>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2527E"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 xml:space="preserve">Euronext </w:t>
            </w:r>
            <w:proofErr w:type="spellStart"/>
            <w:r w:rsidRPr="008D47EB">
              <w:rPr>
                <w:rFonts w:eastAsia="Times New Roman" w:cs="Times New Roman"/>
                <w:b/>
                <w:color w:val="000000"/>
                <w:sz w:val="18"/>
                <w:szCs w:val="18"/>
                <w:lang w:eastAsia="en-GB"/>
              </w:rPr>
              <w:t>AtomX</w:t>
            </w:r>
            <w:proofErr w:type="spellEnd"/>
            <w:r w:rsidRPr="008D47EB">
              <w:rPr>
                <w:rFonts w:eastAsia="Times New Roman" w:cs="Times New Roman"/>
                <w:b/>
                <w:color w:val="000000"/>
                <w:sz w:val="18"/>
                <w:szCs w:val="18"/>
                <w:lang w:eastAsia="en-GB"/>
              </w:rPr>
              <w:t xml:space="preserve">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AF45F1" w:rsidP="00AF45F1">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A2527E">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A2527E">
            <w:pPr>
              <w:spacing w:after="0" w:line="240" w:lineRule="auto"/>
              <w:rPr>
                <w:rFonts w:cs="Calibri"/>
                <w:b/>
                <w:color w:val="000000"/>
              </w:rPr>
            </w:pPr>
            <w:r w:rsidRPr="00AD0C71">
              <w:rPr>
                <w:rFonts w:eastAsia="Times New Roman" w:cs="Times New Roman"/>
                <w:b/>
                <w:color w:val="000000"/>
                <w:sz w:val="18"/>
                <w:szCs w:val="18"/>
                <w:lang w:eastAsia="en-GB"/>
              </w:rPr>
              <w:t xml:space="preserve">SG Retail Systematic </w:t>
            </w:r>
            <w:proofErr w:type="spellStart"/>
            <w:r w:rsidRPr="00AD0C71">
              <w:rPr>
                <w:rFonts w:eastAsia="Times New Roman" w:cs="Times New Roman"/>
                <w:b/>
                <w:color w:val="000000"/>
                <w:sz w:val="18"/>
                <w:szCs w:val="18"/>
                <w:lang w:eastAsia="en-GB"/>
              </w:rPr>
              <w:t>Internaliser</w:t>
            </w:r>
            <w:proofErr w:type="spellEnd"/>
            <w:r w:rsidRPr="00AD0C71">
              <w:rPr>
                <w:rFonts w:eastAsia="Times New Roman" w:cs="Times New Roman"/>
                <w:b/>
                <w:color w:val="000000"/>
                <w:sz w:val="18"/>
                <w:szCs w:val="18"/>
                <w:lang w:eastAsia="en-GB"/>
              </w:rPr>
              <w:t xml:space="preserve"> Quotes Report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2527E"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cs="Calibri"/>
                <w:b/>
                <w:color w:val="00000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AF45F1" w:rsidRDefault="00AF45F1" w:rsidP="00AF45F1">
      <w:pPr>
        <w:spacing w:after="0"/>
        <w:rPr>
          <w:rFonts w:cstheme="minorHAnsi"/>
          <w:sz w:val="14"/>
          <w:szCs w:val="18"/>
        </w:rPr>
      </w:pPr>
      <w:r>
        <w:rPr>
          <w:rFonts w:cstheme="minorHAnsi"/>
          <w:sz w:val="14"/>
          <w:szCs w:val="18"/>
        </w:rPr>
        <w:t>*</w:t>
      </w:r>
      <w:r w:rsidRPr="00F03896">
        <w:rPr>
          <w:rFonts w:cstheme="minorHAnsi"/>
          <w:sz w:val="14"/>
          <w:szCs w:val="18"/>
        </w:rPr>
        <w:t xml:space="preserve">SG Retail Systematic </w:t>
      </w:r>
      <w:proofErr w:type="spellStart"/>
      <w:r w:rsidRPr="00F03896">
        <w:rPr>
          <w:rFonts w:cstheme="minorHAnsi"/>
          <w:sz w:val="14"/>
          <w:szCs w:val="18"/>
        </w:rPr>
        <w:t>Internaliser</w:t>
      </w:r>
      <w:proofErr w:type="spellEnd"/>
      <w:r w:rsidRPr="00F03896">
        <w:rPr>
          <w:rFonts w:cstheme="minorHAnsi"/>
          <w:sz w:val="14"/>
          <w:szCs w:val="18"/>
        </w:rPr>
        <w:t xml:space="preserve"> trades are included in the Euronext APA and Off-Exch</w:t>
      </w:r>
      <w:r w:rsidR="00031E35">
        <w:rPr>
          <w:rFonts w:cstheme="minorHAnsi"/>
          <w:sz w:val="14"/>
          <w:szCs w:val="18"/>
        </w:rPr>
        <w:t>ange Trade Reports Information p</w:t>
      </w:r>
      <w:r w:rsidRPr="00F03896">
        <w:rPr>
          <w:rFonts w:cstheme="minorHAnsi"/>
          <w:sz w:val="14"/>
          <w:szCs w:val="18"/>
        </w:rPr>
        <w:t>roduct</w:t>
      </w: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rsidP="00EB29B0">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proofErr w:type="spellStart"/>
            <w:r w:rsidR="00565721">
              <w:rPr>
                <w:sz w:val="22"/>
              </w:rPr>
              <w:t>Organised</w:t>
            </w:r>
            <w:proofErr w:type="spellEnd"/>
            <w:r w:rsidR="00565721">
              <w:rPr>
                <w:sz w:val="22"/>
              </w:rPr>
              <w:t xml:space="preserve"> Trading Facilities (OTFs), </w:t>
            </w:r>
            <w:r w:rsidRPr="00542230">
              <w:rPr>
                <w:sz w:val="22"/>
              </w:rPr>
              <w:t xml:space="preserve">alternative trading systems, broker crossing networks, dark pools and systematic </w:t>
            </w:r>
            <w:proofErr w:type="spellStart"/>
            <w:r w:rsidRPr="00542230">
              <w:rPr>
                <w:sz w:val="22"/>
              </w:rPr>
              <w:t>internalisation</w:t>
            </w:r>
            <w:proofErr w:type="spellEnd"/>
            <w:r w:rsidRPr="00542230">
              <w:rPr>
                <w:sz w:val="22"/>
              </w:rPr>
              <w:t xml:space="preserve"> systems.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6E77BF" w:rsidRDefault="006E77BF" w:rsidP="006E77BF">
      <w:pPr>
        <w:keepNext/>
        <w:jc w:val="left"/>
      </w:pPr>
      <w:r w:rsidRPr="00841A7D">
        <w:lastRenderedPageBreak/>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bl>
    <w:p w:rsidR="007A7214" w:rsidRPr="00C8059B" w:rsidRDefault="007A7214"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Cash (Consolidated Pack) and Euronext Equities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7A7214" w:rsidRPr="000243E4" w:rsidRDefault="007A7214" w:rsidP="007A7214">
      <w:pPr>
        <w:keepNext/>
        <w:jc w:val="left"/>
        <w:rPr>
          <w:b/>
          <w:sz w:val="36"/>
          <w:szCs w:val="36"/>
        </w:rPr>
      </w:pPr>
    </w:p>
    <w:p w:rsidR="003B28A3" w:rsidRDefault="003B28A3" w:rsidP="007A7214">
      <w:pPr>
        <w:tabs>
          <w:tab w:val="left" w:pos="1215"/>
        </w:tabs>
        <w:jc w:val="left"/>
        <w:rPr>
          <w:b/>
          <w:color w:val="008D7F"/>
        </w:rPr>
      </w:pPr>
    </w:p>
    <w:p w:rsidR="003B28A3" w:rsidRDefault="003B28A3"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lastRenderedPageBreak/>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A2527E">
        <w:trPr>
          <w:trHeight w:val="315"/>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0243E4">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510"/>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0243E4">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510"/>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0243E4">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510"/>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proofErr w:type="spellStart"/>
            <w:r w:rsidRPr="000243E4">
              <w:rPr>
                <w:rFonts w:asciiTheme="majorHAnsi" w:eastAsia="Times New Roman" w:hAnsiTheme="majorHAnsi" w:cs="Times New Roman"/>
                <w:color w:val="000000"/>
                <w:sz w:val="18"/>
                <w:szCs w:val="18"/>
                <w:lang w:eastAsia="en-GB"/>
              </w:rPr>
              <w:t>AtomX</w:t>
            </w:r>
            <w:proofErr w:type="spellEnd"/>
            <w:r w:rsidRPr="000243E4">
              <w:rPr>
                <w:rFonts w:asciiTheme="majorHAnsi" w:eastAsia="Times New Roman" w:hAnsiTheme="majorHAnsi" w:cs="Times New Roman"/>
                <w:color w:val="000000"/>
                <w:sz w:val="18"/>
                <w:szCs w:val="18"/>
                <w:lang w:eastAsia="en-GB"/>
              </w:rPr>
              <w:t xml:space="preserve"> Flexible Derivatives</w:t>
            </w:r>
          </w:p>
        </w:tc>
        <w:tc>
          <w:tcPr>
            <w:tcW w:w="8122"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7A7214" w:rsidP="007A7214">
      <w:pPr>
        <w:tabs>
          <w:tab w:val="left" w:pos="1215"/>
        </w:tabs>
        <w:jc w:val="left"/>
        <w:rPr>
          <w:b/>
          <w:color w:val="008D7F"/>
        </w:rPr>
      </w:pPr>
      <w:r w:rsidRPr="00EF7703">
        <w:rPr>
          <w:b/>
          <w:color w:val="008D7F"/>
        </w:rPr>
        <w:t>OTHER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A2527E">
        <w:trPr>
          <w:trHeight w:val="315"/>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 and Off-Exchange Trade Reports</w:t>
            </w:r>
          </w:p>
        </w:tc>
        <w:tc>
          <w:tcPr>
            <w:tcW w:w="8080"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510"/>
        </w:trPr>
        <w:tc>
          <w:tcPr>
            <w:tcW w:w="1716" w:type="dxa"/>
            <w:gridSpan w:val="2"/>
            <w:tcBorders>
              <w:top w:val="single" w:sz="12" w:space="0" w:color="auto"/>
              <w:left w:val="single" w:sz="12" w:space="0" w:color="auto"/>
              <w:right w:val="single" w:sz="12" w:space="0" w:color="auto"/>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SG Retail Systematic </w:t>
            </w:r>
            <w:proofErr w:type="spellStart"/>
            <w:r w:rsidRPr="000243E4">
              <w:rPr>
                <w:rFonts w:asciiTheme="majorHAnsi" w:eastAsia="Times New Roman" w:hAnsiTheme="majorHAnsi" w:cs="Times New Roman"/>
                <w:color w:val="000000"/>
                <w:sz w:val="18"/>
                <w:szCs w:val="18"/>
                <w:lang w:eastAsia="en-GB"/>
              </w:rPr>
              <w:t>Internaliser</w:t>
            </w:r>
            <w:proofErr w:type="spellEnd"/>
            <w:r w:rsidRPr="000243E4">
              <w:rPr>
                <w:rFonts w:asciiTheme="majorHAnsi" w:eastAsia="Times New Roman" w:hAnsiTheme="majorHAnsi" w:cs="Times New Roman"/>
                <w:color w:val="000000"/>
                <w:sz w:val="18"/>
                <w:szCs w:val="18"/>
                <w:lang w:eastAsia="en-GB"/>
              </w:rPr>
              <w:t xml:space="preserve"> Quotes Report</w:t>
            </w:r>
          </w:p>
        </w:tc>
        <w:tc>
          <w:tcPr>
            <w:tcW w:w="8080" w:type="dxa"/>
            <w:gridSpan w:val="8"/>
            <w:tcBorders>
              <w:top w:val="single" w:sz="12" w:space="0" w:color="auto"/>
              <w:left w:val="single" w:sz="12" w:space="0" w:color="auto"/>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2527E" w:rsidRPr="000243E4">
              <w:rPr>
                <w:sz w:val="18"/>
                <w:szCs w:val="18"/>
              </w:rPr>
            </w:r>
            <w:r w:rsidR="00A2527E" w:rsidRPr="000243E4">
              <w:rPr>
                <w:sz w:val="18"/>
                <w:szCs w:val="18"/>
              </w:rPr>
              <w:fldChar w:fldCharType="separate"/>
            </w:r>
            <w:r w:rsidRPr="000243E4">
              <w:rPr>
                <w:sz w:val="18"/>
                <w:szCs w:val="18"/>
              </w:rPr>
              <w:fldChar w:fldCharType="end"/>
            </w:r>
          </w:p>
        </w:tc>
      </w:tr>
      <w:tr w:rsidR="007A7214" w:rsidRPr="00EF7703" w:rsidTr="00A2527E">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tcPr>
          <w:p w:rsidR="007A7214" w:rsidRPr="00EF7703" w:rsidRDefault="007A7214" w:rsidP="00A2527E">
            <w:pPr>
              <w:jc w:val="right"/>
              <w:rPr>
                <w:rFonts w:asciiTheme="majorHAnsi" w:hAnsiTheme="majorHAnsi"/>
              </w:rPr>
            </w:pPr>
            <w:r w:rsidRPr="00EF7703">
              <w:rPr>
                <w:rFonts w:asciiTheme="majorHAnsi" w:hAnsiTheme="majorHAnsi"/>
                <w:sz w:val="18"/>
                <w:szCs w:val="18"/>
                <w:lang w:eastAsia="en-GB"/>
              </w:rPr>
              <w:t>N/A**</w:t>
            </w:r>
          </w:p>
        </w:tc>
        <w:tc>
          <w:tcPr>
            <w:tcW w:w="992" w:type="dxa"/>
            <w:tcBorders>
              <w:bottom w:val="single" w:sz="12" w:space="0" w:color="auto"/>
              <w:right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EF7703">
              <w:rPr>
                <w:rFonts w:asciiTheme="majorHAnsi" w:hAnsiTheme="majorHAnsi"/>
                <w:sz w:val="18"/>
                <w:szCs w:val="18"/>
                <w:lang w:eastAsia="en-GB"/>
              </w:rPr>
              <w:t>N/A**</w:t>
            </w:r>
          </w:p>
        </w:tc>
        <w:tc>
          <w:tcPr>
            <w:tcW w:w="992" w:type="dxa"/>
            <w:tcBorders>
              <w:left w:val="single" w:sz="12" w:space="0" w:color="auto"/>
              <w:bottom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C8059B">
              <w:rPr>
                <w:rFonts w:asciiTheme="majorHAnsi" w:hAnsiTheme="majorHAnsi"/>
                <w:sz w:val="18"/>
                <w:szCs w:val="18"/>
                <w:lang w:eastAsia="en-GB"/>
              </w:rPr>
              <w:t>N/A**</w:t>
            </w:r>
          </w:p>
        </w:tc>
        <w:tc>
          <w:tcPr>
            <w:tcW w:w="1134" w:type="dxa"/>
            <w:tcBorders>
              <w:bottom w:val="single" w:sz="12" w:space="0" w:color="auto"/>
              <w:right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C8059B">
              <w:rPr>
                <w:rFonts w:asciiTheme="majorHAnsi" w:hAnsiTheme="majorHAnsi"/>
                <w:sz w:val="18"/>
                <w:szCs w:val="18"/>
                <w:lang w:eastAsia="en-GB"/>
              </w:rPr>
              <w:t>N/A**</w:t>
            </w:r>
          </w:p>
        </w:tc>
        <w:tc>
          <w:tcPr>
            <w:tcW w:w="992" w:type="dxa"/>
            <w:tcBorders>
              <w:left w:val="single" w:sz="12" w:space="0" w:color="auto"/>
              <w:bottom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C8059B">
              <w:rPr>
                <w:rFonts w:asciiTheme="majorHAnsi" w:hAnsiTheme="majorHAnsi"/>
                <w:sz w:val="18"/>
                <w:szCs w:val="18"/>
                <w:lang w:eastAsia="en-GB"/>
              </w:rPr>
              <w:t>N/A**</w:t>
            </w:r>
          </w:p>
        </w:tc>
        <w:tc>
          <w:tcPr>
            <w:tcW w:w="993" w:type="dxa"/>
            <w:tcBorders>
              <w:bottom w:val="single" w:sz="12" w:space="0" w:color="auto"/>
              <w:right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C8059B">
              <w:rPr>
                <w:rFonts w:asciiTheme="majorHAnsi" w:hAnsiTheme="majorHAnsi"/>
                <w:sz w:val="18"/>
                <w:szCs w:val="18"/>
                <w:lang w:eastAsia="en-GB"/>
              </w:rPr>
              <w:t>N/A**</w:t>
            </w:r>
          </w:p>
        </w:tc>
        <w:tc>
          <w:tcPr>
            <w:tcW w:w="992" w:type="dxa"/>
            <w:tcBorders>
              <w:left w:val="single" w:sz="12" w:space="0" w:color="auto"/>
              <w:bottom w:val="single" w:sz="12" w:space="0" w:color="auto"/>
            </w:tcBorders>
            <w:shd w:val="clear" w:color="auto" w:fill="auto"/>
          </w:tcPr>
          <w:p w:rsidR="007A7214" w:rsidRPr="000243E4" w:rsidRDefault="007A7214" w:rsidP="00A2527E">
            <w:pPr>
              <w:jc w:val="right"/>
              <w:rPr>
                <w:rFonts w:asciiTheme="majorHAnsi" w:hAnsiTheme="majorHAnsi"/>
                <w:sz w:val="18"/>
                <w:szCs w:val="18"/>
              </w:rPr>
            </w:pPr>
            <w:r w:rsidRPr="00C8059B">
              <w:rPr>
                <w:rFonts w:asciiTheme="majorHAnsi" w:hAnsiTheme="majorHAnsi"/>
                <w:sz w:val="18"/>
                <w:szCs w:val="18"/>
                <w:lang w:eastAsia="en-GB"/>
              </w:rPr>
              <w:t>N/A**</w:t>
            </w:r>
          </w:p>
        </w:tc>
        <w:tc>
          <w:tcPr>
            <w:tcW w:w="992" w:type="dxa"/>
            <w:tcBorders>
              <w:bottom w:val="single" w:sz="12" w:space="0" w:color="auto"/>
              <w:right w:val="single" w:sz="12" w:space="0" w:color="auto"/>
            </w:tcBorders>
            <w:shd w:val="clear" w:color="auto" w:fill="auto"/>
          </w:tcPr>
          <w:p w:rsidR="007A7214" w:rsidRPr="00C8059B" w:rsidRDefault="007A7214" w:rsidP="00A2527E">
            <w:pPr>
              <w:pStyle w:val="TableBodyLarge"/>
              <w:jc w:val="right"/>
              <w:rPr>
                <w:rFonts w:asciiTheme="majorHAnsi" w:hAnsiTheme="majorHAnsi"/>
                <w:sz w:val="18"/>
                <w:szCs w:val="18"/>
              </w:rPr>
            </w:pPr>
            <w:r w:rsidRPr="00C8059B">
              <w:rPr>
                <w:rFonts w:asciiTheme="majorHAnsi" w:hAnsiTheme="majorHAnsi"/>
                <w:sz w:val="18"/>
                <w:szCs w:val="18"/>
                <w:lang w:eastAsia="en-GB"/>
              </w:rPr>
              <w:t>N/A**</w:t>
            </w:r>
          </w:p>
        </w:tc>
      </w:tr>
    </w:tbl>
    <w:p w:rsidR="007A7214" w:rsidRPr="00EF7703" w:rsidRDefault="007A7214" w:rsidP="007A7214">
      <w:pPr>
        <w:spacing w:after="0" w:line="240" w:lineRule="auto"/>
        <w:rPr>
          <w:rFonts w:asciiTheme="majorHAnsi" w:hAnsiTheme="majorHAnsi" w:cstheme="minorHAnsi"/>
          <w:sz w:val="14"/>
          <w:szCs w:val="18"/>
        </w:rPr>
      </w:pPr>
      <w:r w:rsidRPr="00EF7703">
        <w:rPr>
          <w:rFonts w:asciiTheme="majorHAnsi" w:hAnsiTheme="majorHAnsi" w:cstheme="minorHAnsi"/>
          <w:sz w:val="14"/>
          <w:szCs w:val="18"/>
        </w:rPr>
        <w:t xml:space="preserve">** SG Retail Systematic </w:t>
      </w:r>
      <w:proofErr w:type="spellStart"/>
      <w:r w:rsidRPr="00EF7703">
        <w:rPr>
          <w:rFonts w:asciiTheme="majorHAnsi" w:hAnsiTheme="majorHAnsi" w:cstheme="minorHAnsi"/>
          <w:sz w:val="14"/>
          <w:szCs w:val="18"/>
        </w:rPr>
        <w:t>Internaliser</w:t>
      </w:r>
      <w:proofErr w:type="spellEnd"/>
      <w:r w:rsidRPr="00EF7703">
        <w:rPr>
          <w:rFonts w:asciiTheme="majorHAnsi" w:hAnsiTheme="majorHAnsi" w:cstheme="minorHAnsi"/>
          <w:sz w:val="14"/>
          <w:szCs w:val="18"/>
        </w:rPr>
        <w:t xml:space="preserve"> trades are included in the Euronext APA and Off-Exchange Trade Reports Information product</w:t>
      </w:r>
    </w:p>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w:t>
      </w:r>
      <w:proofErr w:type="spellStart"/>
      <w:r w:rsidRPr="00EE670B">
        <w:rPr>
          <w:lang w:val="en-US"/>
        </w:rPr>
        <w:t>Licence</w:t>
      </w:r>
      <w:proofErr w:type="spellEnd"/>
      <w:r w:rsidRPr="00EE670B">
        <w:rPr>
          <w:lang w:val="en-US"/>
        </w:rPr>
        <w:t xml:space="preserve"> for Other Non-Display Activities. </w:t>
      </w:r>
    </w:p>
    <w:p w:rsidR="00EE670B" w:rsidRPr="00C8059B" w:rsidRDefault="00EE670B" w:rsidP="000243E4">
      <w:pPr>
        <w:spacing w:after="200" w:line="276" w:lineRule="auto"/>
        <w:jc w:val="left"/>
        <w:rPr>
          <w:lang w:val="en-US"/>
        </w:rPr>
      </w:pPr>
      <w:r w:rsidRPr="00EE670B">
        <w:rPr>
          <w:lang w:val="en-US"/>
        </w:rPr>
        <w:lastRenderedPageBreak/>
        <w:t>The Non-Display Use of Real Time Information in the calculation of the net asset value (or “</w:t>
      </w:r>
      <w:r w:rsidRPr="00EE670B">
        <w:rPr>
          <w:b/>
          <w:lang w:val="en-US"/>
        </w:rPr>
        <w:t>NAV</w:t>
      </w:r>
      <w:r w:rsidRPr="00EE670B">
        <w:rPr>
          <w:lang w:val="en-US"/>
        </w:rPr>
        <w:t>”) and indicative net asset value (or “</w:t>
      </w:r>
      <w:proofErr w:type="spellStart"/>
      <w:r w:rsidRPr="00EE670B">
        <w:rPr>
          <w:b/>
          <w:lang w:val="en-US"/>
        </w:rPr>
        <w:t>iNAV</w:t>
      </w:r>
      <w:proofErr w:type="spellEnd"/>
      <w:r w:rsidRPr="00EE670B">
        <w:rPr>
          <w:lang w:val="en-US"/>
        </w:rPr>
        <w:t xml:space="preserve">”) is not included in the Category 5 Non-Display Use Fees. Such Use will be included in the Category 6 Non-Display Use Fees for </w:t>
      </w:r>
      <w:r w:rsidR="00D058ED">
        <w:rPr>
          <w:lang w:val="en-US"/>
        </w:rPr>
        <w:t>the Creation of Other Derived Data</w:t>
      </w:r>
      <w:r w:rsidR="00F27872">
        <w:rPr>
          <w:lang w:val="en-US"/>
        </w:rPr>
        <w:t xml:space="preserve"> that will be Redistributed</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A2527E"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Content>
                <w:r w:rsidR="00EE670B" w:rsidRPr="00F27872">
                  <w:rPr>
                    <w:rFonts w:ascii="MS Gothic" w:eastAsia="MS Gothic" w:hAnsi="MS Gothic"/>
                  </w:rPr>
                  <w:t>☐</w:t>
                </w:r>
              </w:sdtContent>
            </w:sdt>
          </w:p>
        </w:tc>
        <w:tc>
          <w:tcPr>
            <w:tcW w:w="4819" w:type="dxa"/>
            <w:shd w:val="clear" w:color="auto" w:fill="auto"/>
          </w:tcPr>
          <w:p w:rsidR="00EE670B" w:rsidRPr="00F27872" w:rsidRDefault="00A2527E"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A2527E"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2527E"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2527E"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2527E"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579678670"/>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2527E"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Content>
                <w:r w:rsidR="008E2BD9"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*Euronext Best of Book trades are included in the Euronext Cash (Consolidated Pack) and</w:t>
      </w:r>
      <w:r w:rsidR="008E2BD9" w:rsidRPr="00C8059B">
        <w:rPr>
          <w:rFonts w:cstheme="minorHAnsi"/>
          <w:sz w:val="14"/>
          <w:szCs w:val="18"/>
        </w:rPr>
        <w:t xml:space="preserve"> Euronext Equities Information </w:t>
      </w:r>
      <w:r w:rsidR="008E2BD9">
        <w:rPr>
          <w:rFonts w:cstheme="minorHAnsi"/>
          <w:sz w:val="14"/>
          <w:szCs w:val="18"/>
        </w:rPr>
        <w:t>p</w:t>
      </w:r>
      <w:r w:rsidRPr="000243E4">
        <w:rPr>
          <w:rFonts w:cstheme="minorHAnsi"/>
          <w:sz w:val="14"/>
          <w:szCs w:val="18"/>
        </w:rPr>
        <w:t>roducts</w:t>
      </w:r>
    </w:p>
    <w:p w:rsidR="00EE670B" w:rsidRPr="00EE670B" w:rsidRDefault="00EE670B" w:rsidP="000243E4">
      <w:pPr>
        <w:pStyle w:val="ListParagraph"/>
        <w:spacing w:after="0"/>
        <w:ind w:left="360"/>
        <w:rPr>
          <w:rFonts w:asciiTheme="minorHAnsi" w:hAnsiTheme="minorHAnsi" w:cstheme="minorHAnsi"/>
          <w:sz w:val="18"/>
          <w:szCs w:val="18"/>
        </w:rPr>
      </w:pPr>
    </w:p>
    <w:p w:rsidR="001619D6" w:rsidRDefault="001619D6" w:rsidP="000243E4">
      <w:pPr>
        <w:tabs>
          <w:tab w:val="left" w:pos="1215"/>
        </w:tabs>
        <w:jc w:val="left"/>
        <w:rPr>
          <w:b/>
          <w:color w:val="008D7F"/>
        </w:rPr>
      </w:pPr>
    </w:p>
    <w:p w:rsidR="001619D6" w:rsidRDefault="001619D6" w:rsidP="000243E4">
      <w:pPr>
        <w:tabs>
          <w:tab w:val="left" w:pos="1215"/>
        </w:tabs>
        <w:jc w:val="left"/>
        <w:rPr>
          <w:b/>
          <w:color w:val="008D7F"/>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w:t>
            </w:r>
            <w:proofErr w:type="spellStart"/>
            <w:r w:rsidRPr="00E7477C">
              <w:rPr>
                <w:rFonts w:cstheme="minorHAnsi"/>
                <w:sz w:val="18"/>
                <w:szCs w:val="18"/>
              </w:rPr>
              <w:t>AtomX</w:t>
            </w:r>
            <w:proofErr w:type="spellEnd"/>
            <w:r w:rsidRPr="00E7477C">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A2527E" w:rsidRPr="00EE670B" w:rsidRDefault="00A2527E" w:rsidP="000243E4">
      <w:pPr>
        <w:pStyle w:val="ListParagraph"/>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lastRenderedPageBreak/>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SG Retail Systematic </w:t>
            </w:r>
            <w:proofErr w:type="spellStart"/>
            <w:r w:rsidRPr="00E7477C">
              <w:rPr>
                <w:rFonts w:cstheme="minorHAnsi"/>
                <w:sz w:val="18"/>
                <w:szCs w:val="18"/>
              </w:rPr>
              <w:t>Internaliser</w:t>
            </w:r>
            <w:proofErr w:type="spellEnd"/>
            <w:r w:rsidRPr="00E7477C">
              <w:rPr>
                <w:rFonts w:cstheme="minorHAnsi"/>
                <w:sz w:val="18"/>
                <w:szCs w:val="18"/>
              </w:rPr>
              <w:t xml:space="preserve"> Quotes Report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2527E"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rPr>
                <w:sz w:val="18"/>
              </w:rPr>
              <w:t>N/A*</w:t>
            </w:r>
          </w:p>
        </w:tc>
      </w:tr>
    </w:tbl>
    <w:p w:rsidR="00EE670B" w:rsidRPr="000243E4" w:rsidRDefault="00EE670B" w:rsidP="000243E4">
      <w:pPr>
        <w:spacing w:after="0"/>
        <w:rPr>
          <w:rFonts w:cstheme="minorHAnsi"/>
          <w:sz w:val="14"/>
          <w:szCs w:val="18"/>
        </w:rPr>
      </w:pPr>
      <w:r w:rsidRPr="000243E4">
        <w:rPr>
          <w:rFonts w:cstheme="minorHAnsi"/>
          <w:sz w:val="14"/>
          <w:szCs w:val="18"/>
        </w:rPr>
        <w:t xml:space="preserve">*SG Retail Systematic </w:t>
      </w:r>
      <w:proofErr w:type="spellStart"/>
      <w:r w:rsidRPr="000243E4">
        <w:rPr>
          <w:rFonts w:cstheme="minorHAnsi"/>
          <w:sz w:val="14"/>
          <w:szCs w:val="18"/>
        </w:rPr>
        <w:t>Internaliser</w:t>
      </w:r>
      <w:proofErr w:type="spellEnd"/>
      <w:r w:rsidRPr="000243E4">
        <w:rPr>
          <w:rFonts w:cstheme="minorHAnsi"/>
          <w:sz w:val="14"/>
          <w:szCs w:val="18"/>
        </w:rPr>
        <w:t xml:space="preserve"> trades are included in the Euronext APA and Off-Exchange Trade Reports Information </w:t>
      </w:r>
      <w:r w:rsidR="008E2BD9" w:rsidRPr="00C8059B">
        <w:rPr>
          <w:rFonts w:cstheme="minorHAnsi"/>
          <w:sz w:val="14"/>
          <w:szCs w:val="18"/>
        </w:rPr>
        <w:t>p</w:t>
      </w:r>
      <w:r w:rsidRPr="000243E4">
        <w:rPr>
          <w:rFonts w:cstheme="minorHAnsi"/>
          <w:sz w:val="14"/>
          <w:szCs w:val="18"/>
        </w:rPr>
        <w:t>roduct</w:t>
      </w:r>
    </w:p>
    <w:p w:rsidR="00EE670B" w:rsidRDefault="00EE670B" w:rsidP="000243E4">
      <w:pPr>
        <w:pStyle w:val="ListParagraph"/>
        <w:ind w:left="360"/>
      </w:pPr>
    </w:p>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6654EE" w:rsidRDefault="006654EE" w:rsidP="0079783A">
      <w:pPr>
        <w:pStyle w:val="TableBodyBullet3pt"/>
      </w:pPr>
    </w:p>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A2527E"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bl>
    <w:p w:rsidR="00A02B9F" w:rsidRDefault="00A02B9F" w:rsidP="00A02B9F">
      <w:pPr>
        <w:tabs>
          <w:tab w:val="left" w:pos="1215"/>
        </w:tabs>
        <w:jc w:val="left"/>
        <w:rPr>
          <w:b/>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2527E"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2527E"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2527E"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A2527E"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lastRenderedPageBreak/>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2527E"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Content>
                <w:r w:rsidR="003656D0"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4"/>
          <w:szCs w:val="18"/>
        </w:rPr>
      </w:pPr>
      <w:r w:rsidRPr="00F169C7">
        <w:rPr>
          <w:rFonts w:cstheme="minorHAnsi"/>
          <w:sz w:val="14"/>
          <w:szCs w:val="18"/>
        </w:rPr>
        <w:t xml:space="preserve">*Euronext Best of Book trades are included in the Euronext Cash (Consolidated Pack) and </w:t>
      </w:r>
      <w:r w:rsidR="003656D0">
        <w:rPr>
          <w:rFonts w:cstheme="minorHAnsi"/>
          <w:sz w:val="14"/>
          <w:szCs w:val="18"/>
        </w:rPr>
        <w:t>Euronext Equities Information p</w:t>
      </w:r>
      <w:r w:rsidRPr="00F169C7">
        <w:rPr>
          <w:rFonts w:cstheme="minorHAnsi"/>
          <w:sz w:val="14"/>
          <w:szCs w:val="18"/>
        </w:rPr>
        <w:t>roducts</w:t>
      </w:r>
    </w:p>
    <w:p w:rsidR="00A02B9F" w:rsidRPr="00F169C7" w:rsidRDefault="00A02B9F" w:rsidP="00A02B9F">
      <w:pPr>
        <w:spacing w:after="0"/>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w:t>
            </w:r>
            <w:proofErr w:type="spellStart"/>
            <w:r w:rsidRPr="00F169C7">
              <w:rPr>
                <w:rFonts w:cstheme="minorHAnsi"/>
                <w:sz w:val="18"/>
                <w:szCs w:val="18"/>
              </w:rPr>
              <w:t>AtomX</w:t>
            </w:r>
            <w:proofErr w:type="spellEnd"/>
            <w:r w:rsidRPr="00F169C7">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SG Retail Systematic </w:t>
            </w:r>
            <w:proofErr w:type="spellStart"/>
            <w:r w:rsidRPr="00F169C7">
              <w:rPr>
                <w:rFonts w:cstheme="minorHAnsi"/>
                <w:sz w:val="18"/>
                <w:szCs w:val="18"/>
              </w:rPr>
              <w:t>Internaliser</w:t>
            </w:r>
            <w:proofErr w:type="spellEnd"/>
            <w:r w:rsidRPr="00F169C7">
              <w:rPr>
                <w:rFonts w:cstheme="minorHAnsi"/>
                <w:sz w:val="18"/>
                <w:szCs w:val="18"/>
              </w:rPr>
              <w:t xml:space="preserve"> Quotes Report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2527E"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N/A*</w:t>
            </w:r>
          </w:p>
        </w:tc>
      </w:tr>
    </w:tbl>
    <w:p w:rsidR="00A02B9F" w:rsidRPr="00F169C7" w:rsidRDefault="00A02B9F" w:rsidP="00A02B9F">
      <w:pPr>
        <w:spacing w:after="0" w:line="240" w:lineRule="auto"/>
        <w:rPr>
          <w:rFonts w:eastAsiaTheme="majorEastAsia" w:cstheme="majorBidi"/>
          <w:b/>
          <w:bCs/>
          <w:caps/>
          <w:color w:val="008D7F"/>
          <w:sz w:val="26"/>
          <w:szCs w:val="26"/>
          <w:lang w:val="en-US"/>
        </w:rPr>
      </w:pPr>
      <w:r w:rsidRPr="00F169C7">
        <w:rPr>
          <w:rFonts w:cstheme="minorHAnsi"/>
          <w:sz w:val="14"/>
          <w:szCs w:val="18"/>
        </w:rPr>
        <w:t xml:space="preserve">*SG Retail Systematic </w:t>
      </w:r>
      <w:proofErr w:type="spellStart"/>
      <w:r w:rsidRPr="00F169C7">
        <w:rPr>
          <w:rFonts w:cstheme="minorHAnsi"/>
          <w:sz w:val="14"/>
          <w:szCs w:val="18"/>
        </w:rPr>
        <w:t>Internaliser</w:t>
      </w:r>
      <w:proofErr w:type="spellEnd"/>
      <w:r w:rsidRPr="00F169C7">
        <w:rPr>
          <w:rFonts w:cstheme="minorHAnsi"/>
          <w:sz w:val="14"/>
          <w:szCs w:val="18"/>
        </w:rPr>
        <w:t xml:space="preserve"> trades are included in the Euronext APA and Off-Exchange Trade Reports Information </w:t>
      </w:r>
      <w:r w:rsidR="003656D0">
        <w:rPr>
          <w:rFonts w:cstheme="minorHAnsi"/>
          <w:sz w:val="14"/>
          <w:szCs w:val="18"/>
        </w:rPr>
        <w:t>p</w:t>
      </w:r>
      <w:r w:rsidRPr="00F169C7">
        <w:rPr>
          <w:rFonts w:cstheme="minorHAnsi"/>
          <w:sz w:val="14"/>
          <w:szCs w:val="18"/>
        </w:rPr>
        <w:t>roduct</w:t>
      </w:r>
    </w:p>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lastRenderedPageBreak/>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CD63F0" w:rsidRDefault="00F42FDD" w:rsidP="00F42FD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w:t>
            </w:r>
            <w:proofErr w:type="spellStart"/>
            <w:r w:rsidRPr="000243E4">
              <w:rPr>
                <w:rFonts w:cstheme="minorHAnsi"/>
                <w:sz w:val="18"/>
                <w:szCs w:val="18"/>
              </w:rPr>
              <w:t>Licence</w:t>
            </w:r>
            <w:proofErr w:type="spellEnd"/>
            <w:r w:rsidRPr="000243E4">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 xml:space="preserve">CFD User </w:t>
            </w:r>
            <w:proofErr w:type="spellStart"/>
            <w:r w:rsidRPr="000243E4">
              <w:rPr>
                <w:rFonts w:cstheme="minorHAnsi"/>
                <w:sz w:val="18"/>
              </w:rPr>
              <w:t>Licence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Content>
                <w:r w:rsidR="00F42FDD"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lastRenderedPageBreak/>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2527E" w:rsidP="00A2527E">
            <w:pPr>
              <w:pStyle w:val="TableBodyLarge"/>
              <w:rPr>
                <w:sz w:val="24"/>
              </w:rPr>
            </w:pPr>
            <w:sdt>
              <w:sdtPr>
                <w:rPr>
                  <w:sz w:val="24"/>
                </w:rPr>
                <w:id w:val="524141213"/>
                <w14:checkbox>
                  <w14:checked w14:val="0"/>
                  <w14:checkedState w14:val="2612" w14:font="MS Gothic"/>
                  <w14:uncheckedState w14:val="2610" w14:font="MS Gothic"/>
                </w14:checkbox>
              </w:sdt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F42FDD" w:rsidRDefault="00F42FDD" w:rsidP="00F42FDD">
      <w:pPr>
        <w:keepNext/>
        <w:jc w:val="left"/>
      </w:pPr>
      <w:r>
        <w:t xml:space="preserve">Please indicate below the CFD White Label Service Clients that </w:t>
      </w:r>
      <w:r w:rsidR="00D4259D">
        <w:t xml:space="preserve">the </w:t>
      </w:r>
      <w:r>
        <w:t xml:space="preserve">Customer provides CFD White Label Services to: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F42FDD" w:rsidP="00A2527E">
            <w:pPr>
              <w:pStyle w:val="TableBody"/>
              <w:rPr>
                <w:rFonts w:cstheme="minorHAnsi"/>
                <w:b/>
                <w:sz w:val="22"/>
              </w:rPr>
            </w:pPr>
            <w:r>
              <w:rPr>
                <w:rFonts w:cstheme="minorHAnsi"/>
                <w:b/>
                <w:sz w:val="22"/>
              </w:rPr>
              <w:t>CFD WHITE LABEL SERVICE CLIENT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F42FDD" w:rsidP="00A2527E">
            <w:pPr>
              <w:pStyle w:val="TableBody"/>
              <w:rPr>
                <w:rFonts w:cstheme="minorHAnsi"/>
                <w:b/>
                <w:sz w:val="22"/>
              </w:rPr>
            </w:pPr>
            <w:r>
              <w:rPr>
                <w:rFonts w:cstheme="minorHAnsi"/>
                <w:b/>
                <w:sz w:val="22"/>
              </w:rPr>
              <w:t>CFD WHITE LABEL SERVICE CLIENT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F42FDD" w:rsidP="00A2527E">
            <w:pPr>
              <w:pStyle w:val="TableBody"/>
              <w:rPr>
                <w:rFonts w:cstheme="minorHAnsi"/>
                <w:b/>
                <w:sz w:val="22"/>
              </w:rPr>
            </w:pPr>
            <w:r>
              <w:rPr>
                <w:rFonts w:cstheme="minorHAnsi"/>
                <w:b/>
                <w:sz w:val="22"/>
              </w:rPr>
              <w:t>CFD WHITE LABEL SERVICE CLIENT 3:</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F42FDD" w:rsidP="00A2527E">
            <w:pPr>
              <w:pStyle w:val="TableBody"/>
              <w:rPr>
                <w:rFonts w:cstheme="minorHAnsi"/>
                <w:b/>
                <w:sz w:val="22"/>
              </w:rPr>
            </w:pPr>
            <w:r>
              <w:rPr>
                <w:rFonts w:cstheme="minorHAnsi"/>
                <w:b/>
                <w:sz w:val="22"/>
              </w:rPr>
              <w:t>CFD WHITE LABEL SERVICE CLIENT 4:</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F42FDD" w:rsidP="00A2527E">
            <w:pPr>
              <w:pStyle w:val="TableBody"/>
              <w:rPr>
                <w:rFonts w:cstheme="minorHAnsi"/>
                <w:b/>
                <w:sz w:val="22"/>
              </w:rPr>
            </w:pPr>
            <w:r>
              <w:rPr>
                <w:rFonts w:cstheme="minorHAnsi"/>
                <w:b/>
                <w:sz w:val="22"/>
              </w:rPr>
              <w:t>CFD WHITE LABEL SERVICE CLIENT 5:</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3C67F5" w:rsidRDefault="00F42FDD" w:rsidP="00F42FDD">
      <w:pPr>
        <w:rPr>
          <w:sz w:val="24"/>
          <w:szCs w:val="24"/>
        </w:rPr>
      </w:pPr>
    </w:p>
    <w:p w:rsidR="001C16F0" w:rsidRPr="00841A7D" w:rsidRDefault="001C16F0" w:rsidP="001C16F0">
      <w:pPr>
        <w:pStyle w:val="Heading2NoTOC"/>
        <w:numPr>
          <w:ilvl w:val="0"/>
          <w:numId w:val="29"/>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w:t>
      </w:r>
      <w:proofErr w:type="spellStart"/>
      <w:r w:rsidRPr="00841A7D">
        <w:t>datafeed</w:t>
      </w:r>
      <w:proofErr w:type="spellEnd"/>
      <w:r w:rsidRPr="00841A7D">
        <w:t xml:space="preserve">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A2527E">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746DCC" w:rsidRDefault="00746DCC" w:rsidP="001C16F0">
      <w:pPr>
        <w:pStyle w:val="BodyText"/>
        <w:spacing w:after="120"/>
      </w:pPr>
    </w:p>
    <w:p w:rsidR="00746DCC" w:rsidRDefault="00746DCC" w:rsidP="001C16F0">
      <w:pPr>
        <w:pStyle w:val="BodyText"/>
        <w:spacing w:after="120"/>
      </w:pPr>
    </w:p>
    <w:p w:rsidR="00746DCC" w:rsidRDefault="00746DCC" w:rsidP="001C16F0">
      <w:pPr>
        <w:pStyle w:val="BodyText"/>
        <w:spacing w:after="120"/>
      </w:pPr>
    </w:p>
    <w:p w:rsidR="001C16F0" w:rsidRPr="00841A7D" w:rsidRDefault="001C16F0" w:rsidP="001C16F0">
      <w:pPr>
        <w:pStyle w:val="BodyText"/>
        <w:spacing w:after="120"/>
      </w:pPr>
      <w:r w:rsidRPr="00841A7D">
        <w:lastRenderedPageBreak/>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0243E4">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A2527E"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2527E"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2527E"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2527E"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A2527E"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Cash (Consolidated Pack) and </w:t>
      </w:r>
      <w:r>
        <w:rPr>
          <w:rFonts w:cstheme="minorHAnsi"/>
          <w:sz w:val="14"/>
          <w:szCs w:val="18"/>
        </w:rPr>
        <w:t>Euronext Equities Information p</w:t>
      </w:r>
      <w:r w:rsidRPr="00F169C7">
        <w:rPr>
          <w:rFonts w:cstheme="minorHAnsi"/>
          <w:sz w:val="14"/>
          <w:szCs w:val="18"/>
        </w:rPr>
        <w:t>roducts</w:t>
      </w:r>
    </w:p>
    <w:p w:rsidR="006D18F2" w:rsidRDefault="006D18F2" w:rsidP="006D18F2">
      <w:pPr>
        <w:spacing w:after="0"/>
        <w:rPr>
          <w:rFonts w:cstheme="minorHAnsi"/>
          <w:sz w:val="18"/>
          <w:szCs w:val="18"/>
        </w:rPr>
      </w:pPr>
    </w:p>
    <w:p w:rsidR="006D18F2" w:rsidRPr="00F169C7" w:rsidRDefault="006D18F2" w:rsidP="006D18F2">
      <w:pPr>
        <w:spacing w:after="0"/>
        <w:rPr>
          <w:rFonts w:cstheme="minorHAnsi"/>
          <w:sz w:val="18"/>
          <w:szCs w:val="18"/>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proofErr w:type="spellStart"/>
            <w:r w:rsidRPr="00F169C7">
              <w:rPr>
                <w:rFonts w:cstheme="minorHAnsi"/>
                <w:sz w:val="18"/>
                <w:szCs w:val="18"/>
              </w:rPr>
              <w:t>AtomX</w:t>
            </w:r>
            <w:proofErr w:type="spellEnd"/>
            <w:r w:rsidRPr="00F169C7">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8"/>
          <w:szCs w:val="18"/>
        </w:rPr>
      </w:pPr>
    </w:p>
    <w:p w:rsidR="00746DCC" w:rsidRDefault="00746DCC"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lastRenderedPageBreak/>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SG Retail Systematic </w:t>
            </w:r>
            <w:proofErr w:type="spellStart"/>
            <w:r w:rsidRPr="00F169C7">
              <w:rPr>
                <w:rFonts w:cstheme="minorHAnsi"/>
                <w:sz w:val="18"/>
                <w:szCs w:val="18"/>
              </w:rPr>
              <w:t>Internaliser</w:t>
            </w:r>
            <w:proofErr w:type="spellEnd"/>
            <w:r w:rsidRPr="00F169C7">
              <w:rPr>
                <w:rFonts w:cstheme="minorHAnsi"/>
                <w:sz w:val="18"/>
                <w:szCs w:val="18"/>
              </w:rPr>
              <w:t xml:space="preserve"> Quotes Report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2527E"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N/A*</w:t>
            </w:r>
          </w:p>
        </w:tc>
      </w:tr>
    </w:tbl>
    <w:p w:rsidR="006D18F2" w:rsidRDefault="006D18F2" w:rsidP="006D18F2">
      <w:pPr>
        <w:spacing w:after="0" w:line="240" w:lineRule="auto"/>
        <w:rPr>
          <w:rFonts w:cstheme="minorHAnsi"/>
          <w:sz w:val="14"/>
          <w:szCs w:val="18"/>
        </w:rPr>
      </w:pPr>
      <w:r w:rsidRPr="00F169C7">
        <w:rPr>
          <w:rFonts w:cstheme="minorHAnsi"/>
          <w:sz w:val="14"/>
          <w:szCs w:val="18"/>
        </w:rPr>
        <w:t xml:space="preserve">*SG Retail Systematic </w:t>
      </w:r>
      <w:proofErr w:type="spellStart"/>
      <w:r w:rsidRPr="00F169C7">
        <w:rPr>
          <w:rFonts w:cstheme="minorHAnsi"/>
          <w:sz w:val="14"/>
          <w:szCs w:val="18"/>
        </w:rPr>
        <w:t>Internaliser</w:t>
      </w:r>
      <w:proofErr w:type="spellEnd"/>
      <w:r w:rsidRPr="00F169C7">
        <w:rPr>
          <w:rFonts w:cstheme="minorHAnsi"/>
          <w:sz w:val="14"/>
          <w:szCs w:val="18"/>
        </w:rPr>
        <w:t xml:space="preserve"> trades are included in the Euronext APA and Off-Exchange Trade Reports Information </w:t>
      </w:r>
      <w:r>
        <w:rPr>
          <w:rFonts w:cstheme="minorHAnsi"/>
          <w:sz w:val="14"/>
          <w:szCs w:val="18"/>
        </w:rPr>
        <w:t>p</w:t>
      </w:r>
      <w:r w:rsidRPr="00F169C7">
        <w:rPr>
          <w:rFonts w:cstheme="minorHAnsi"/>
          <w:sz w:val="14"/>
          <w:szCs w:val="18"/>
        </w:rPr>
        <w:t>roduct</w:t>
      </w:r>
    </w:p>
    <w:p w:rsidR="006D18F2" w:rsidRPr="00F169C7" w:rsidRDefault="006D18F2" w:rsidP="006D18F2">
      <w:pPr>
        <w:spacing w:after="0" w:line="240" w:lineRule="auto"/>
        <w:rPr>
          <w:rFonts w:eastAsiaTheme="majorEastAsia" w:cstheme="majorBidi"/>
          <w:b/>
          <w:bCs/>
          <w:caps/>
          <w:color w:val="008D7F"/>
          <w:sz w:val="26"/>
          <w:szCs w:val="26"/>
          <w:lang w:val="en-US"/>
        </w:rPr>
      </w:pPr>
    </w:p>
    <w:p w:rsidR="00520940" w:rsidRPr="00841A7D" w:rsidRDefault="00520940" w:rsidP="00E05D58">
      <w:pPr>
        <w:pStyle w:val="Heading2NoTOC"/>
        <w:numPr>
          <w:ilvl w:val="0"/>
          <w:numId w:val="29"/>
        </w:numPr>
      </w:pPr>
      <w:r>
        <w:t>PERSONAL DATA</w:t>
      </w:r>
    </w:p>
    <w:p w:rsidR="00520940" w:rsidRPr="00520940" w:rsidRDefault="00520940" w:rsidP="00E05D58">
      <w:pPr>
        <w:pStyle w:val="ListParagraph"/>
        <w:numPr>
          <w:ilvl w:val="0"/>
          <w:numId w:val="61"/>
        </w:numPr>
        <w:spacing w:after="200" w:line="276" w:lineRule="auto"/>
        <w:jc w:val="left"/>
      </w:pPr>
      <w:r w:rsidRPr="00520940">
        <w:t xml:space="preserve">In connection with the performance of this </w:t>
      </w:r>
      <w:r w:rsidR="00026455">
        <w:t>declaration</w:t>
      </w:r>
      <w:r w:rsidRPr="00520940">
        <w:t xml:space="preserve"> process</w:t>
      </w:r>
      <w:r w:rsidR="00026455">
        <w:t xml:space="preserve"> </w:t>
      </w:r>
      <w:r w:rsidRPr="00520940">
        <w:t xml:space="preserve">Euronext processes the personal data collected through the </w:t>
      </w:r>
      <w:r w:rsidR="00026455">
        <w:t>Non-Display Use</w:t>
      </w:r>
      <w:r w:rsidRPr="00520940">
        <w:t xml:space="preserve"> Declaration. The personal data collected in the </w:t>
      </w:r>
      <w:r w:rsidR="006D07C6">
        <w:t xml:space="preserve">Non-Display Use </w:t>
      </w:r>
      <w:r w:rsidRPr="00520940">
        <w:t xml:space="preserve">Declaration is required to allow the </w:t>
      </w:r>
      <w:r w:rsidR="006D07C6">
        <w:t xml:space="preserve">Customer </w:t>
      </w:r>
      <w:r w:rsidRPr="00520940">
        <w:t xml:space="preserve">to receive and use the Information </w:t>
      </w:r>
      <w:r w:rsidR="00026455">
        <w:t xml:space="preserve">for its Non-Display Use </w:t>
      </w:r>
      <w:r w:rsidR="009A1F6E">
        <w:t xml:space="preserve">and CFD Use </w:t>
      </w:r>
      <w:r w:rsidR="00026455">
        <w:t>activities</w:t>
      </w:r>
      <w:r w:rsidRPr="00520940">
        <w:t>. This personal data is intended for use by Euronext for the following purposes:</w:t>
      </w:r>
    </w:p>
    <w:p w:rsidR="00520940" w:rsidRPr="00E05D58" w:rsidRDefault="00026455" w:rsidP="00520940">
      <w:pPr>
        <w:pStyle w:val="ListParagraph"/>
        <w:numPr>
          <w:ilvl w:val="0"/>
          <w:numId w:val="60"/>
        </w:numPr>
        <w:spacing w:after="200" w:line="276" w:lineRule="auto"/>
        <w:jc w:val="left"/>
      </w:pPr>
      <w:r>
        <w:t>performance of the Non-Display Use Declaration</w:t>
      </w:r>
      <w:r w:rsidR="00520940" w:rsidRPr="00E05D58">
        <w:t xml:space="preserve"> process</w:t>
      </w:r>
    </w:p>
    <w:p w:rsidR="00520940" w:rsidRPr="00E05D58" w:rsidRDefault="00520940" w:rsidP="00520940">
      <w:pPr>
        <w:pStyle w:val="ListParagraph"/>
        <w:numPr>
          <w:ilvl w:val="0"/>
          <w:numId w:val="60"/>
        </w:numPr>
        <w:spacing w:after="200" w:line="276" w:lineRule="auto"/>
        <w:jc w:val="left"/>
      </w:pPr>
      <w:r w:rsidRPr="00E05D58">
        <w:t>compliance with statutory obligations</w:t>
      </w:r>
    </w:p>
    <w:p w:rsidR="00520940" w:rsidRPr="00E05D58" w:rsidRDefault="00520940" w:rsidP="00520940">
      <w:pPr>
        <w:pStyle w:val="ListParagraph"/>
        <w:numPr>
          <w:ilvl w:val="0"/>
          <w:numId w:val="60"/>
        </w:numPr>
        <w:spacing w:after="200" w:line="276" w:lineRule="auto"/>
        <w:jc w:val="left"/>
      </w:pPr>
      <w:r w:rsidRPr="00E05D58">
        <w:t>statistical analysis</w:t>
      </w:r>
    </w:p>
    <w:p w:rsidR="00520940" w:rsidRPr="00E05D58" w:rsidRDefault="00520940" w:rsidP="00520940">
      <w:pPr>
        <w:pStyle w:val="ListParagraph"/>
        <w:numPr>
          <w:ilvl w:val="0"/>
          <w:numId w:val="60"/>
        </w:numPr>
        <w:spacing w:after="200" w:line="276" w:lineRule="auto"/>
        <w:jc w:val="left"/>
      </w:pPr>
      <w:r w:rsidRPr="00E05D58">
        <w:t>promoting the products and services of Euronext. For this purpose Euronext may use the electronic addresses of the data subjects, unless they opt-out via Euronext.</w:t>
      </w:r>
    </w:p>
    <w:p w:rsidR="00520940" w:rsidRPr="00E05D58" w:rsidRDefault="00520940" w:rsidP="00520940">
      <w:pPr>
        <w:pStyle w:val="ListParagraph"/>
        <w:numPr>
          <w:ilvl w:val="0"/>
          <w:numId w:val="60"/>
        </w:numPr>
        <w:spacing w:after="200" w:line="276" w:lineRule="auto"/>
        <w:jc w:val="left"/>
      </w:pPr>
      <w:r w:rsidRPr="00E05D58">
        <w:t>improving the products and services of Euronext.</w:t>
      </w:r>
    </w:p>
    <w:p w:rsidR="00520940" w:rsidRPr="00520940" w:rsidRDefault="00520940" w:rsidP="00E05D58">
      <w:pPr>
        <w:pStyle w:val="ListParagraph"/>
        <w:numPr>
          <w:ilvl w:val="0"/>
          <w:numId w:val="61"/>
        </w:numPr>
        <w:spacing w:after="200" w:line="276" w:lineRule="auto"/>
        <w:jc w:val="left"/>
      </w:pPr>
      <w:r w:rsidRPr="00520940">
        <w:t>Personal data will be stored and processed in accordance with the provisions of the Directive 95/46/EC of the European Parliament and of the Council of 24 October 1995 on the protection of individuals with regard to the processing of personal data and on the free movement of such data, and the national European legislation applicable. Euronext may transfer this data to companies located in countries outside the European Economic Area to the extent that the export requirements subject to Directive 95/46/EC and applicable law have been met. The data subject is entitled to have access to and to rectify the personal data relating to him, as well as, on legitimate grounds, to object to such processing. A data subject may exercise these rights by contacting Euronext.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rsidP="006D07C6">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personal data 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lastRenderedPageBreak/>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rsidP="004F7C11">
      <w:pPr>
        <w:pStyle w:val="BodyText"/>
        <w:rPr>
          <w:b/>
        </w:rPr>
      </w:pPr>
    </w:p>
    <w:sectPr w:rsidR="00D27F5E" w:rsidRPr="009B32B7" w:rsidSect="00EB29B0">
      <w:headerReference w:type="default" r:id="rId13"/>
      <w:footerReference w:type="default" r:id="rId14"/>
      <w:headerReference w:type="first" r:id="rId15"/>
      <w:footerReference w:type="first" r:id="rId16"/>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7E" w:rsidRDefault="00A2527E" w:rsidP="00DB0C67">
      <w:pPr>
        <w:spacing w:after="0" w:line="240" w:lineRule="auto"/>
      </w:pPr>
      <w:r>
        <w:separator/>
      </w:r>
    </w:p>
  </w:endnote>
  <w:endnote w:type="continuationSeparator" w:id="0">
    <w:p w:rsidR="00A2527E" w:rsidRDefault="00A2527E"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7E" w:rsidRPr="00532BB3" w:rsidRDefault="00A2527E" w:rsidP="00777CD4">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E9399D">
      <w:rPr>
        <w:noProof/>
      </w:rPr>
      <w:t>16</w:t>
    </w:r>
    <w:r>
      <w:rPr>
        <w:noProof/>
      </w:rPr>
      <w:fldChar w:fldCharType="end"/>
    </w:r>
    <w:r w:rsidRPr="00A2509B">
      <w:rPr>
        <w:noProof/>
      </w:rPr>
      <w:t xml:space="preserve"> of </w:t>
    </w:r>
    <w:fldSimple w:instr=" NUMPAGES   \* MERGEFORMAT ">
      <w:r w:rsidR="00E9399D">
        <w:rPr>
          <w:noProof/>
        </w:rPr>
        <w:t>16</w:t>
      </w:r>
    </w:fldSimple>
    <w:r w:rsidRPr="00A2509B">
      <w:tab/>
    </w:r>
    <w:r>
      <w:rPr>
        <w:iCs/>
      </w:rPr>
      <w:t>Revision Number: 9.0</w:t>
    </w:r>
  </w:p>
  <w:p w:rsidR="00A2527E" w:rsidRDefault="00A2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7E" w:rsidRPr="00532BB3" w:rsidRDefault="00A2527E" w:rsidP="00BA2235">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E9399D">
      <w:rPr>
        <w:noProof/>
      </w:rPr>
      <w:t>1</w:t>
    </w:r>
    <w:r>
      <w:rPr>
        <w:noProof/>
      </w:rPr>
      <w:fldChar w:fldCharType="end"/>
    </w:r>
    <w:r w:rsidRPr="00A2509B">
      <w:rPr>
        <w:noProof/>
      </w:rPr>
      <w:t xml:space="preserve"> of </w:t>
    </w:r>
    <w:fldSimple w:instr=" NUMPAGES   \* MERGEFORMAT ">
      <w:r w:rsidR="00E9399D">
        <w:rPr>
          <w:noProof/>
        </w:rPr>
        <w:t>16</w:t>
      </w:r>
    </w:fldSimple>
    <w:r w:rsidRPr="00A2509B">
      <w:tab/>
    </w:r>
    <w:r>
      <w:rPr>
        <w:iCs/>
      </w:rPr>
      <w:t>Revision Number: 9.0</w:t>
    </w:r>
  </w:p>
  <w:p w:rsidR="00A2527E" w:rsidRDefault="00A2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7E" w:rsidRDefault="00A2527E" w:rsidP="00DB0C67">
      <w:pPr>
        <w:pStyle w:val="FootnoteSeparator"/>
      </w:pPr>
      <w:r>
        <w:tab/>
      </w:r>
    </w:p>
  </w:footnote>
  <w:footnote w:type="continuationSeparator" w:id="0">
    <w:p w:rsidR="00A2527E" w:rsidRDefault="00A2527E" w:rsidP="00DB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7E" w:rsidRDefault="00A2527E">
    <w:pPr>
      <w:pStyle w:val="Header"/>
    </w:pPr>
    <w:r>
      <w:t>Non-Display Use D</w:t>
    </w:r>
    <w:r w:rsidRPr="00F07153">
      <w:t>eclaration</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7E" w:rsidRDefault="00A2527E">
    <w:pPr>
      <w:pStyle w:val="Header"/>
    </w:pPr>
    <w:r w:rsidRPr="00F530AD">
      <w:rPr>
        <w:noProof/>
        <w:lang w:val="en-US"/>
      </w:rPr>
      <w:drawing>
        <wp:anchor distT="0" distB="0" distL="118745" distR="118745" simplePos="0" relativeHeight="251659264" behindDoc="0" locked="0" layoutInCell="1" allowOverlap="1" wp14:anchorId="050C8E8C" wp14:editId="4DC547DB">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693_"/>
      </v:shape>
    </w:pict>
  </w:numPicBullet>
  <w:numPicBullet w:numPicBulletId="1">
    <w:pict>
      <v:shape id="_x0000_i1033" type="#_x0000_t75" style="width:9pt;height:9pt" o:bullet="t">
        <v:imagedata r:id="rId2" o:title="BD14656_"/>
      </v:shape>
    </w:pict>
  </w:numPicBullet>
  <w:abstractNum w:abstractNumId="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7">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5">
    <w:nsid w:val="2CA161CE"/>
    <w:multiLevelType w:val="multilevel"/>
    <w:tmpl w:val="B68216C6"/>
    <w:numStyleLink w:val="NumbLstMain"/>
  </w:abstractNum>
  <w:abstractNum w:abstractNumId="16">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7">
    <w:nsid w:val="33C12F57"/>
    <w:multiLevelType w:val="multilevel"/>
    <w:tmpl w:val="0409001F"/>
    <w:numStyleLink w:val="111111"/>
  </w:abstractNum>
  <w:abstractNum w:abstractNumId="18">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5">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nsid w:val="59270225"/>
    <w:multiLevelType w:val="multilevel"/>
    <w:tmpl w:val="4DA64D64"/>
    <w:numStyleLink w:val="NumbLstNumb"/>
  </w:abstractNum>
  <w:abstractNum w:abstractNumId="31">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5">
    <w:nsid w:val="5E7D204F"/>
    <w:multiLevelType w:val="multilevel"/>
    <w:tmpl w:val="8CD43666"/>
    <w:numStyleLink w:val="NumbLstTableBullet"/>
  </w:abstractNum>
  <w:abstractNum w:abstractNumId="36">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8">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1">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2">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4">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3"/>
  </w:num>
  <w:num w:numId="3">
    <w:abstractNumId w:val="30"/>
  </w:num>
  <w:num w:numId="4">
    <w:abstractNumId w:val="14"/>
  </w:num>
  <w:num w:numId="5">
    <w:abstractNumId w:val="18"/>
  </w:num>
  <w:num w:numId="6">
    <w:abstractNumId w:val="0"/>
  </w:num>
  <w:num w:numId="7">
    <w:abstractNumId w:val="29"/>
  </w:num>
  <w:num w:numId="8">
    <w:abstractNumId w:val="31"/>
  </w:num>
  <w:num w:numId="9">
    <w:abstractNumId w:val="11"/>
  </w:num>
  <w:num w:numId="10">
    <w:abstractNumId w:val="39"/>
  </w:num>
  <w:num w:numId="11">
    <w:abstractNumId w:val="35"/>
  </w:num>
  <w:num w:numId="12">
    <w:abstractNumId w:val="16"/>
  </w:num>
  <w:num w:numId="13">
    <w:abstractNumId w:val="2"/>
  </w:num>
  <w:num w:numId="14">
    <w:abstractNumId w:val="22"/>
  </w:num>
  <w:num w:numId="15">
    <w:abstractNumId w:val="15"/>
  </w:num>
  <w:num w:numId="16">
    <w:abstractNumId w:val="51"/>
  </w:num>
  <w:num w:numId="17">
    <w:abstractNumId w:val="54"/>
  </w:num>
  <w:num w:numId="18">
    <w:abstractNumId w:val="17"/>
  </w:num>
  <w:num w:numId="19">
    <w:abstractNumId w:val="8"/>
  </w:num>
  <w:num w:numId="20">
    <w:abstractNumId w:val="6"/>
  </w:num>
  <w:num w:numId="21">
    <w:abstractNumId w:val="1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36"/>
  </w:num>
  <w:num w:numId="23">
    <w:abstractNumId w:val="15"/>
  </w:num>
  <w:num w:numId="24">
    <w:abstractNumId w:val="15"/>
  </w:num>
  <w:num w:numId="25">
    <w:abstractNumId w:val="23"/>
  </w:num>
  <w:num w:numId="26">
    <w:abstractNumId w:val="48"/>
  </w:num>
  <w:num w:numId="27">
    <w:abstractNumId w:val="12"/>
  </w:num>
  <w:num w:numId="28">
    <w:abstractNumId w:val="32"/>
  </w:num>
  <w:num w:numId="29">
    <w:abstractNumId w:val="34"/>
  </w:num>
  <w:num w:numId="30">
    <w:abstractNumId w:val="38"/>
  </w:num>
  <w:num w:numId="31">
    <w:abstractNumId w:val="9"/>
  </w:num>
  <w:num w:numId="32">
    <w:abstractNumId w:val="15"/>
    <w:lvlOverride w:ilvl="0">
      <w:startOverride w:val="3"/>
    </w:lvlOverride>
    <w:lvlOverride w:ilvl="1">
      <w:startOverride w:val="2"/>
    </w:lvlOverride>
  </w:num>
  <w:num w:numId="33">
    <w:abstractNumId w:val="15"/>
    <w:lvlOverride w:ilvl="0">
      <w:startOverride w:val="3"/>
    </w:lvlOverride>
    <w:lvlOverride w:ilvl="1">
      <w:startOverride w:val="2"/>
    </w:lvlOverride>
  </w:num>
  <w:num w:numId="34">
    <w:abstractNumId w:val="3"/>
  </w:num>
  <w:num w:numId="35">
    <w:abstractNumId w:val="45"/>
  </w:num>
  <w:num w:numId="36">
    <w:abstractNumId w:val="19"/>
  </w:num>
  <w:num w:numId="37">
    <w:abstractNumId w:val="13"/>
  </w:num>
  <w:num w:numId="38">
    <w:abstractNumId w:val="21"/>
  </w:num>
  <w:num w:numId="39">
    <w:abstractNumId w:val="52"/>
  </w:num>
  <w:num w:numId="40">
    <w:abstractNumId w:val="41"/>
  </w:num>
  <w:num w:numId="41">
    <w:abstractNumId w:val="53"/>
  </w:num>
  <w:num w:numId="42">
    <w:abstractNumId w:val="24"/>
  </w:num>
  <w:num w:numId="43">
    <w:abstractNumId w:val="37"/>
  </w:num>
  <w:num w:numId="44">
    <w:abstractNumId w:val="26"/>
  </w:num>
  <w:num w:numId="45">
    <w:abstractNumId w:val="27"/>
  </w:num>
  <w:num w:numId="46">
    <w:abstractNumId w:val="25"/>
  </w:num>
  <w:num w:numId="47">
    <w:abstractNumId w:val="50"/>
  </w:num>
  <w:num w:numId="48">
    <w:abstractNumId w:val="43"/>
  </w:num>
  <w:num w:numId="49">
    <w:abstractNumId w:val="17"/>
    <w:lvlOverride w:ilvl="0">
      <w:startOverride w:val="8"/>
    </w:lvlOverride>
  </w:num>
  <w:num w:numId="50">
    <w:abstractNumId w:val="4"/>
  </w:num>
  <w:num w:numId="51">
    <w:abstractNumId w:val="1"/>
  </w:num>
  <w:num w:numId="52">
    <w:abstractNumId w:val="7"/>
  </w:num>
  <w:num w:numId="53">
    <w:abstractNumId w:val="28"/>
  </w:num>
  <w:num w:numId="54">
    <w:abstractNumId w:val="17"/>
  </w:num>
  <w:num w:numId="55">
    <w:abstractNumId w:val="10"/>
  </w:num>
  <w:num w:numId="56">
    <w:abstractNumId w:val="20"/>
  </w:num>
  <w:num w:numId="57">
    <w:abstractNumId w:val="49"/>
  </w:num>
  <w:num w:numId="58">
    <w:abstractNumId w:val="46"/>
  </w:num>
  <w:num w:numId="59">
    <w:abstractNumId w:val="42"/>
  </w:num>
  <w:num w:numId="60">
    <w:abstractNumId w:val="5"/>
  </w:num>
  <w:num w:numId="61">
    <w:abstractNumId w:val="47"/>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oMYaXLKC/4V60LyOrqbNcnGKwwc=" w:salt="+7rp2JhTsOmUMfia73Qz9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7C64"/>
    <w:rsid w:val="000A12A3"/>
    <w:rsid w:val="000A3297"/>
    <w:rsid w:val="000A3A71"/>
    <w:rsid w:val="000B2176"/>
    <w:rsid w:val="000B3B6D"/>
    <w:rsid w:val="000C0676"/>
    <w:rsid w:val="000C1774"/>
    <w:rsid w:val="000C4FEC"/>
    <w:rsid w:val="000C5159"/>
    <w:rsid w:val="000C57B7"/>
    <w:rsid w:val="000E392F"/>
    <w:rsid w:val="000F39BF"/>
    <w:rsid w:val="000F5D2F"/>
    <w:rsid w:val="000F7AB0"/>
    <w:rsid w:val="000F7E33"/>
    <w:rsid w:val="0010166D"/>
    <w:rsid w:val="00110835"/>
    <w:rsid w:val="00110E19"/>
    <w:rsid w:val="0011104B"/>
    <w:rsid w:val="00111EE1"/>
    <w:rsid w:val="00112DF1"/>
    <w:rsid w:val="0012067B"/>
    <w:rsid w:val="001220E7"/>
    <w:rsid w:val="001241F6"/>
    <w:rsid w:val="00126471"/>
    <w:rsid w:val="00135022"/>
    <w:rsid w:val="00141071"/>
    <w:rsid w:val="001422E8"/>
    <w:rsid w:val="00142E7F"/>
    <w:rsid w:val="00145503"/>
    <w:rsid w:val="00150F31"/>
    <w:rsid w:val="001619D6"/>
    <w:rsid w:val="001635FB"/>
    <w:rsid w:val="00172392"/>
    <w:rsid w:val="00174AD8"/>
    <w:rsid w:val="00176726"/>
    <w:rsid w:val="00180B11"/>
    <w:rsid w:val="001839FB"/>
    <w:rsid w:val="00190F44"/>
    <w:rsid w:val="0019386B"/>
    <w:rsid w:val="0019427E"/>
    <w:rsid w:val="001A42C6"/>
    <w:rsid w:val="001B51CC"/>
    <w:rsid w:val="001B5C19"/>
    <w:rsid w:val="001B6781"/>
    <w:rsid w:val="001C16F0"/>
    <w:rsid w:val="001C5251"/>
    <w:rsid w:val="001D0975"/>
    <w:rsid w:val="001D1859"/>
    <w:rsid w:val="001D1B8D"/>
    <w:rsid w:val="001D2969"/>
    <w:rsid w:val="001D47BA"/>
    <w:rsid w:val="001D4D48"/>
    <w:rsid w:val="001D5B5D"/>
    <w:rsid w:val="001E58EF"/>
    <w:rsid w:val="0020319D"/>
    <w:rsid w:val="00205564"/>
    <w:rsid w:val="00210A37"/>
    <w:rsid w:val="00213059"/>
    <w:rsid w:val="00221F53"/>
    <w:rsid w:val="00223552"/>
    <w:rsid w:val="00223B04"/>
    <w:rsid w:val="0022464F"/>
    <w:rsid w:val="00225FE5"/>
    <w:rsid w:val="0023049F"/>
    <w:rsid w:val="00232635"/>
    <w:rsid w:val="002402FE"/>
    <w:rsid w:val="00242D99"/>
    <w:rsid w:val="00242DE9"/>
    <w:rsid w:val="00243207"/>
    <w:rsid w:val="002432ED"/>
    <w:rsid w:val="00245ABA"/>
    <w:rsid w:val="00250436"/>
    <w:rsid w:val="002621FA"/>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C58"/>
    <w:rsid w:val="00333C6F"/>
    <w:rsid w:val="0033624E"/>
    <w:rsid w:val="003404B3"/>
    <w:rsid w:val="00344CE9"/>
    <w:rsid w:val="00345F2C"/>
    <w:rsid w:val="00350D6E"/>
    <w:rsid w:val="00353947"/>
    <w:rsid w:val="00354681"/>
    <w:rsid w:val="003656D0"/>
    <w:rsid w:val="00367974"/>
    <w:rsid w:val="0037734F"/>
    <w:rsid w:val="00380674"/>
    <w:rsid w:val="00384009"/>
    <w:rsid w:val="003940F6"/>
    <w:rsid w:val="003B0194"/>
    <w:rsid w:val="003B28A3"/>
    <w:rsid w:val="003B2ECB"/>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54E6"/>
    <w:rsid w:val="00497472"/>
    <w:rsid w:val="0049766D"/>
    <w:rsid w:val="004A22FC"/>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67E1"/>
    <w:rsid w:val="004F2AD4"/>
    <w:rsid w:val="004F696C"/>
    <w:rsid w:val="004F6971"/>
    <w:rsid w:val="004F7C11"/>
    <w:rsid w:val="00501123"/>
    <w:rsid w:val="0050193F"/>
    <w:rsid w:val="005134A1"/>
    <w:rsid w:val="00515CAF"/>
    <w:rsid w:val="00517646"/>
    <w:rsid w:val="00520940"/>
    <w:rsid w:val="00522720"/>
    <w:rsid w:val="00522BFB"/>
    <w:rsid w:val="00526F42"/>
    <w:rsid w:val="005326B4"/>
    <w:rsid w:val="005405B8"/>
    <w:rsid w:val="00540A93"/>
    <w:rsid w:val="00541BD9"/>
    <w:rsid w:val="005467DF"/>
    <w:rsid w:val="0055750F"/>
    <w:rsid w:val="00561C56"/>
    <w:rsid w:val="00565721"/>
    <w:rsid w:val="00565BC6"/>
    <w:rsid w:val="005715D4"/>
    <w:rsid w:val="005716F7"/>
    <w:rsid w:val="00574A44"/>
    <w:rsid w:val="00577E16"/>
    <w:rsid w:val="00580853"/>
    <w:rsid w:val="005813F3"/>
    <w:rsid w:val="00582BA7"/>
    <w:rsid w:val="00585E4C"/>
    <w:rsid w:val="0058659B"/>
    <w:rsid w:val="0059539D"/>
    <w:rsid w:val="00595957"/>
    <w:rsid w:val="00596544"/>
    <w:rsid w:val="005A3182"/>
    <w:rsid w:val="005A6479"/>
    <w:rsid w:val="005B3EC4"/>
    <w:rsid w:val="005B4F30"/>
    <w:rsid w:val="005B5894"/>
    <w:rsid w:val="005B6071"/>
    <w:rsid w:val="005C370D"/>
    <w:rsid w:val="005C4BC5"/>
    <w:rsid w:val="005D3B96"/>
    <w:rsid w:val="005E47CB"/>
    <w:rsid w:val="005E4B59"/>
    <w:rsid w:val="005F0CD7"/>
    <w:rsid w:val="005F2EBB"/>
    <w:rsid w:val="005F700B"/>
    <w:rsid w:val="00604404"/>
    <w:rsid w:val="006046E7"/>
    <w:rsid w:val="00606BE8"/>
    <w:rsid w:val="00607A15"/>
    <w:rsid w:val="00610A46"/>
    <w:rsid w:val="00613D1D"/>
    <w:rsid w:val="00614B44"/>
    <w:rsid w:val="00616D78"/>
    <w:rsid w:val="006172DF"/>
    <w:rsid w:val="00627929"/>
    <w:rsid w:val="00634635"/>
    <w:rsid w:val="006361BF"/>
    <w:rsid w:val="00636C33"/>
    <w:rsid w:val="006654EE"/>
    <w:rsid w:val="0066578D"/>
    <w:rsid w:val="00670186"/>
    <w:rsid w:val="006729BD"/>
    <w:rsid w:val="00680497"/>
    <w:rsid w:val="00682549"/>
    <w:rsid w:val="00682C09"/>
    <w:rsid w:val="00683895"/>
    <w:rsid w:val="00686E07"/>
    <w:rsid w:val="00694860"/>
    <w:rsid w:val="006970F8"/>
    <w:rsid w:val="00697D45"/>
    <w:rsid w:val="006A30A8"/>
    <w:rsid w:val="006A7D53"/>
    <w:rsid w:val="006B2563"/>
    <w:rsid w:val="006B6129"/>
    <w:rsid w:val="006B6583"/>
    <w:rsid w:val="006C0810"/>
    <w:rsid w:val="006C2DA3"/>
    <w:rsid w:val="006C5ED4"/>
    <w:rsid w:val="006D07C6"/>
    <w:rsid w:val="006D0910"/>
    <w:rsid w:val="006D18F2"/>
    <w:rsid w:val="006D2D8B"/>
    <w:rsid w:val="006D46DF"/>
    <w:rsid w:val="006D490C"/>
    <w:rsid w:val="006E0389"/>
    <w:rsid w:val="006E3A1B"/>
    <w:rsid w:val="006E77BF"/>
    <w:rsid w:val="006F1094"/>
    <w:rsid w:val="0070099A"/>
    <w:rsid w:val="00706463"/>
    <w:rsid w:val="007078BA"/>
    <w:rsid w:val="00714816"/>
    <w:rsid w:val="00714AA1"/>
    <w:rsid w:val="00720F89"/>
    <w:rsid w:val="007211DE"/>
    <w:rsid w:val="007227CF"/>
    <w:rsid w:val="0072367A"/>
    <w:rsid w:val="00727C69"/>
    <w:rsid w:val="007400FC"/>
    <w:rsid w:val="00740190"/>
    <w:rsid w:val="0074194E"/>
    <w:rsid w:val="00746DCC"/>
    <w:rsid w:val="00747173"/>
    <w:rsid w:val="00747E2A"/>
    <w:rsid w:val="0075316F"/>
    <w:rsid w:val="007534D3"/>
    <w:rsid w:val="00753A8E"/>
    <w:rsid w:val="00756209"/>
    <w:rsid w:val="00757B1A"/>
    <w:rsid w:val="0076588C"/>
    <w:rsid w:val="00766C41"/>
    <w:rsid w:val="0077033C"/>
    <w:rsid w:val="007703A7"/>
    <w:rsid w:val="00773626"/>
    <w:rsid w:val="00777CD4"/>
    <w:rsid w:val="007855F7"/>
    <w:rsid w:val="00786A09"/>
    <w:rsid w:val="00786F00"/>
    <w:rsid w:val="00786FBF"/>
    <w:rsid w:val="007903D1"/>
    <w:rsid w:val="0079448D"/>
    <w:rsid w:val="0079783A"/>
    <w:rsid w:val="007A7214"/>
    <w:rsid w:val="007B052C"/>
    <w:rsid w:val="007B10F5"/>
    <w:rsid w:val="007C607F"/>
    <w:rsid w:val="007C6133"/>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61238"/>
    <w:rsid w:val="00862583"/>
    <w:rsid w:val="008649C2"/>
    <w:rsid w:val="00865B23"/>
    <w:rsid w:val="00866380"/>
    <w:rsid w:val="00866AC0"/>
    <w:rsid w:val="008677D6"/>
    <w:rsid w:val="00867B4E"/>
    <w:rsid w:val="0087204F"/>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6FE1"/>
    <w:rsid w:val="00903356"/>
    <w:rsid w:val="0090738F"/>
    <w:rsid w:val="00907E7A"/>
    <w:rsid w:val="00910CA1"/>
    <w:rsid w:val="00911777"/>
    <w:rsid w:val="00911EDD"/>
    <w:rsid w:val="009121FB"/>
    <w:rsid w:val="00912508"/>
    <w:rsid w:val="009126A5"/>
    <w:rsid w:val="00913862"/>
    <w:rsid w:val="00916E7D"/>
    <w:rsid w:val="00921A55"/>
    <w:rsid w:val="009232D0"/>
    <w:rsid w:val="00927C6D"/>
    <w:rsid w:val="0093443B"/>
    <w:rsid w:val="00936155"/>
    <w:rsid w:val="00937269"/>
    <w:rsid w:val="009411EC"/>
    <w:rsid w:val="0094430B"/>
    <w:rsid w:val="0095009B"/>
    <w:rsid w:val="00951F0D"/>
    <w:rsid w:val="009532BC"/>
    <w:rsid w:val="0095376C"/>
    <w:rsid w:val="00960555"/>
    <w:rsid w:val="00961607"/>
    <w:rsid w:val="00966F44"/>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C1DC1"/>
    <w:rsid w:val="00AC40EF"/>
    <w:rsid w:val="00AD67BC"/>
    <w:rsid w:val="00AD7136"/>
    <w:rsid w:val="00AD7350"/>
    <w:rsid w:val="00AF1EC9"/>
    <w:rsid w:val="00AF2D2B"/>
    <w:rsid w:val="00AF36E4"/>
    <w:rsid w:val="00AF45F1"/>
    <w:rsid w:val="00AF70A3"/>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E50"/>
    <w:rsid w:val="00C02C1F"/>
    <w:rsid w:val="00C059AE"/>
    <w:rsid w:val="00C05D4C"/>
    <w:rsid w:val="00C117EA"/>
    <w:rsid w:val="00C156B3"/>
    <w:rsid w:val="00C268AF"/>
    <w:rsid w:val="00C334D3"/>
    <w:rsid w:val="00C33F06"/>
    <w:rsid w:val="00C35EC4"/>
    <w:rsid w:val="00C42E7D"/>
    <w:rsid w:val="00C519B7"/>
    <w:rsid w:val="00C5278A"/>
    <w:rsid w:val="00C5517F"/>
    <w:rsid w:val="00C65517"/>
    <w:rsid w:val="00C71BE1"/>
    <w:rsid w:val="00C746CB"/>
    <w:rsid w:val="00C77295"/>
    <w:rsid w:val="00C8059B"/>
    <w:rsid w:val="00C812C8"/>
    <w:rsid w:val="00C8267A"/>
    <w:rsid w:val="00C90915"/>
    <w:rsid w:val="00C94419"/>
    <w:rsid w:val="00C94859"/>
    <w:rsid w:val="00C95359"/>
    <w:rsid w:val="00C96A5E"/>
    <w:rsid w:val="00C97F8A"/>
    <w:rsid w:val="00CA2BF1"/>
    <w:rsid w:val="00CA5FC0"/>
    <w:rsid w:val="00CB00FC"/>
    <w:rsid w:val="00CB04D5"/>
    <w:rsid w:val="00CB214C"/>
    <w:rsid w:val="00CC64D5"/>
    <w:rsid w:val="00CD05B2"/>
    <w:rsid w:val="00CD3F4D"/>
    <w:rsid w:val="00CD6E0B"/>
    <w:rsid w:val="00CE02C5"/>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E02926"/>
    <w:rsid w:val="00E05D58"/>
    <w:rsid w:val="00E11E1E"/>
    <w:rsid w:val="00E12D8E"/>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3586"/>
    <w:rsid w:val="00F23C04"/>
    <w:rsid w:val="00F27872"/>
    <w:rsid w:val="00F33CA1"/>
    <w:rsid w:val="00F33FC4"/>
    <w:rsid w:val="00F42FDD"/>
    <w:rsid w:val="00F438A4"/>
    <w:rsid w:val="00F46110"/>
    <w:rsid w:val="00F530AD"/>
    <w:rsid w:val="00F63D6E"/>
    <w:rsid w:val="00F643BC"/>
    <w:rsid w:val="00F64538"/>
    <w:rsid w:val="00F75849"/>
    <w:rsid w:val="00F77835"/>
    <w:rsid w:val="00F81EC7"/>
    <w:rsid w:val="00F843BA"/>
    <w:rsid w:val="00F84D07"/>
    <w:rsid w:val="00F85BB2"/>
    <w:rsid w:val="00F93995"/>
    <w:rsid w:val="00F94870"/>
    <w:rsid w:val="00FA66B6"/>
    <w:rsid w:val="00FA6E0B"/>
    <w:rsid w:val="00FA7B82"/>
    <w:rsid w:val="00FB121A"/>
    <w:rsid w:val="00FB18FF"/>
    <w:rsid w:val="00FB3B63"/>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byeuronex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2.xml><?xml version="1.0" encoding="utf-8"?>
<ds:datastoreItem xmlns:ds="http://schemas.openxmlformats.org/officeDocument/2006/customXml" ds:itemID="{6DE4FFA8-926B-4339-9BE7-19CE9DF38BD9}">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885803-9A65-4EC0-AF0E-39CC14BB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33727</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Shelley Oor</cp:lastModifiedBy>
  <cp:revision>6</cp:revision>
  <cp:lastPrinted>2015-11-27T15:25:00Z</cp:lastPrinted>
  <dcterms:created xsi:type="dcterms:W3CDTF">2017-08-31T16:37:00Z</dcterms:created>
  <dcterms:modified xsi:type="dcterms:W3CDTF">2017-08-31T16:38:00Z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